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C4857" w:rsidRPr="00807621" w:rsidTr="00276EA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3C4857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C4857" w:rsidRPr="003C4857" w:rsidRDefault="003C4857" w:rsidP="003C485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C4857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6F5325A4" wp14:editId="63D7E59C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3C4857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C4857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3C4857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C4857" w:rsidRPr="008E3144" w:rsidTr="00276EA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C4857" w:rsidRPr="003C4857" w:rsidRDefault="003C4857" w:rsidP="003C485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C4857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5FC94" wp14:editId="06C768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3C4857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2DC92" wp14:editId="0DA484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3C4857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86F240" wp14:editId="03087C4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3C48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C4857" w:rsidRPr="003C4857" w:rsidRDefault="003C4857" w:rsidP="003C485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C4857" w:rsidRPr="003C4857" w:rsidRDefault="003C4857" w:rsidP="003C485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125</w:t>
            </w:r>
          </w:p>
        </w:tc>
        <w:tc>
          <w:tcPr>
            <w:tcW w:w="4393" w:type="dxa"/>
            <w:gridSpan w:val="2"/>
          </w:tcPr>
          <w:p w:rsidR="003C4857" w:rsidRPr="003C4857" w:rsidRDefault="003C4857" w:rsidP="003C4857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C485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3C4857" w:rsidRPr="003C4857" w:rsidRDefault="003C4857" w:rsidP="003C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C4857" w:rsidRPr="003C4857" w:rsidRDefault="003C4857" w:rsidP="003C48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22 нче декабрь</w:t>
            </w:r>
            <w:r w:rsidRPr="003C485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2020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ел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33FE" w:rsidRPr="003C4857" w:rsidTr="003C4857">
        <w:tc>
          <w:tcPr>
            <w:tcW w:w="9747" w:type="dxa"/>
            <w:hideMark/>
          </w:tcPr>
          <w:p w:rsidR="003C4857" w:rsidRDefault="003C4857" w:rsidP="009C79AA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  <w:lang w:val="tt-RU"/>
              </w:rPr>
            </w:pPr>
          </w:p>
          <w:p w:rsidR="00331D85" w:rsidRPr="003C4857" w:rsidRDefault="00331D85" w:rsidP="003C4857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val="tt-RU"/>
              </w:rPr>
            </w:pPr>
            <w:r w:rsidRPr="003C4857">
              <w:rPr>
                <w:sz w:val="28"/>
                <w:szCs w:val="28"/>
                <w:lang w:val="tt-RU"/>
              </w:rPr>
              <w:t>Түбән Кама муниципаль районы Красный Ключ авыл җирлегенең Җирдән файдалану һәм төзелеш кагыйдәләрен карау буенча гавами тыңлаулар билгеләү турында</w:t>
            </w:r>
          </w:p>
        </w:tc>
      </w:tr>
    </w:tbl>
    <w:p w:rsidR="006033FE" w:rsidRPr="003C4857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1D85" w:rsidRPr="003C4857" w:rsidRDefault="00331D85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4857">
        <w:rPr>
          <w:rFonts w:ascii="Times New Roman" w:hAnsi="Times New Roman" w:cs="Times New Roman"/>
          <w:sz w:val="28"/>
          <w:szCs w:val="28"/>
          <w:lang w:val="tt-RU"/>
        </w:rPr>
        <w:t xml:space="preserve">Җир кишәрлекләре хокук ияләренең уңайлы яшәеш шартлары, хокуклары һәм законлы мәнфәгатьләре буенча кеше хокукларын үтәү максатларында, </w:t>
      </w:r>
      <w:r w:rsidR="003C4857" w:rsidRPr="003C485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3C4857">
        <w:rPr>
          <w:rFonts w:ascii="Times New Roman" w:hAnsi="Times New Roman" w:cs="Times New Roman"/>
          <w:sz w:val="28"/>
          <w:szCs w:val="28"/>
          <w:lang w:val="tt-RU"/>
        </w:rPr>
        <w:t xml:space="preserve">2004 елның 29 декабрендәге 190-ФЗ номерлы Россия Федерациясе Шәһәр төзелеше кодексының 5.1, 31, 33 статьялары, «Россия Федерациясендә җирле үзидарә оештыруның гомуми принциплары турында» 2003 елның </w:t>
      </w:r>
      <w:r w:rsidR="003C4857" w:rsidRPr="003C485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3C4857">
        <w:rPr>
          <w:rFonts w:ascii="Times New Roman" w:hAnsi="Times New Roman" w:cs="Times New Roman"/>
          <w:sz w:val="28"/>
          <w:szCs w:val="28"/>
          <w:lang w:val="tt-RU"/>
        </w:rPr>
        <w:t xml:space="preserve">6 октябрендәге 131-ФЗ номерлы Федераль законның 28 статьясы нигезендә, Түбән Кама муниципаль районы Советының 2006 елның 13 октябрендәге </w:t>
      </w:r>
      <w:r w:rsidR="003C485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3C4857">
        <w:rPr>
          <w:rFonts w:ascii="Times New Roman" w:hAnsi="Times New Roman" w:cs="Times New Roman"/>
          <w:sz w:val="28"/>
          <w:szCs w:val="28"/>
          <w:lang w:val="tt-RU"/>
        </w:rPr>
        <w:t>48 номерлы «Татарстан Республикасы «Түбән Кама муниципаль районы» муниципаль берәмлегендә гавами тыңлаулар оештыру һәм үткәрү тәртибе турында» карары белән, карар бирәм:</w:t>
      </w:r>
    </w:p>
    <w:p w:rsidR="00EA1511" w:rsidRPr="00331D85" w:rsidRDefault="009C79AA" w:rsidP="00331D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1D85" w:rsidRPr="00331D85">
        <w:rPr>
          <w:rFonts w:ascii="Times New Roman" w:hAnsi="Times New Roman" w:cs="Times New Roman"/>
          <w:sz w:val="28"/>
        </w:rPr>
        <w:t xml:space="preserve">Татарстан </w:t>
      </w:r>
      <w:proofErr w:type="spellStart"/>
      <w:r w:rsidR="00331D85" w:rsidRPr="00331D85">
        <w:rPr>
          <w:rFonts w:ascii="Times New Roman" w:hAnsi="Times New Roman" w:cs="Times New Roman"/>
          <w:sz w:val="28"/>
        </w:rPr>
        <w:t>Республикасы</w:t>
      </w:r>
      <w:proofErr w:type="spellEnd"/>
      <w:r w:rsidR="00331D85" w:rsidRPr="00331D85">
        <w:rPr>
          <w:sz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районы Красный Ключ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Җирдән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файдалану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кагыйдәләрен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="00331D85"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 w:rsidRPr="00331D85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D85">
        <w:rPr>
          <w:rFonts w:ascii="Times New Roman" w:hAnsi="Times New Roman" w:cs="Times New Roman"/>
          <w:sz w:val="28"/>
          <w:szCs w:val="28"/>
        </w:rPr>
        <w:t>билгеләрг</w:t>
      </w:r>
      <w:proofErr w:type="spellEnd"/>
      <w:r w:rsidR="00331D85">
        <w:rPr>
          <w:rFonts w:ascii="Times New Roman" w:hAnsi="Times New Roman" w:cs="Times New Roman"/>
          <w:sz w:val="28"/>
          <w:szCs w:val="28"/>
          <w:lang w:val="tt-RU"/>
        </w:rPr>
        <w:t>ә.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составын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).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: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тыңлауларны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оештыручы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комиссияне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9C79AA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3.2. проект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спозициясен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tt-RU"/>
        </w:rPr>
        <w:t>Красный Ключ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поселогы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E5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 кат,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проектның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рсиясе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әсми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Кама районы -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документлары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, Красный Ключ авыл җирлегенең рәсми сайтында урнашкан</w:t>
      </w:r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331D85" w:rsidRPr="00331D85" w:rsidRDefault="00331D85" w:rsidP="00E53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3.3. проект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экспозициясен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8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декабреннән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датасына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3.4. проект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экспозициясендә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булырга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көннәр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сәгатьләр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</w:t>
      </w:r>
      <w:r w:rsidRPr="00331D85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16:00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сәгатькә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4857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гыйнварында</w:t>
      </w:r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85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33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1D85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:</w:t>
      </w:r>
    </w:p>
    <w:p w:rsidR="00331D85" w:rsidRPr="00331D85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</w:t>
      </w:r>
      <w:r>
        <w:rPr>
          <w:rFonts w:ascii="Times New Roman" w:hAnsi="Times New Roman" w:cs="Times New Roman"/>
          <w:sz w:val="28"/>
          <w:szCs w:val="28"/>
          <w:lang w:val="tt-RU"/>
        </w:rPr>
        <w:t>буждение поселогы</w:t>
      </w:r>
      <w:r>
        <w:rPr>
          <w:rFonts w:ascii="Times New Roman" w:hAnsi="Times New Roman" w:cs="Times New Roman"/>
          <w:sz w:val="28"/>
          <w:szCs w:val="28"/>
        </w:rPr>
        <w:t xml:space="preserve">, 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  <w:r w:rsidR="00C275C2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Pr="0033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>
        <w:rPr>
          <w:rFonts w:ascii="Times New Roman" w:hAnsi="Times New Roman" w:cs="Times New Roman"/>
          <w:sz w:val="28"/>
          <w:szCs w:val="28"/>
        </w:rPr>
        <w:t>, 10</w:t>
      </w:r>
      <w:r w:rsidRPr="00331D85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331D85" w:rsidRPr="009C79AA" w:rsidRDefault="00331D85" w:rsidP="00331D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275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Красный Ключ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поселогы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2</w:t>
      </w:r>
      <w:r w:rsidR="00C275C2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администрациясенең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актлар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C2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="00C275C2">
        <w:rPr>
          <w:rFonts w:ascii="Times New Roman" w:hAnsi="Times New Roman" w:cs="Times New Roman"/>
          <w:sz w:val="28"/>
          <w:szCs w:val="28"/>
        </w:rPr>
        <w:t xml:space="preserve"> 13:0</w:t>
      </w:r>
      <w:r w:rsidRPr="00331D8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331D85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Pr="00331D85">
        <w:rPr>
          <w:rFonts w:ascii="Times New Roman" w:hAnsi="Times New Roman" w:cs="Times New Roman"/>
          <w:sz w:val="28"/>
          <w:szCs w:val="28"/>
        </w:rPr>
        <w:t>;</w:t>
      </w:r>
    </w:p>
    <w:p w:rsidR="00C275C2" w:rsidRPr="00C275C2" w:rsidRDefault="00C275C2" w:rsidP="00C275C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проектка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кагылган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тәкъдимнә</w:t>
      </w:r>
      <w:proofErr w:type="gramStart"/>
      <w:r w:rsidRPr="00C275C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искәрмәләр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тәртибе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- Россия </w:t>
      </w:r>
      <w:r w:rsidR="00E538A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кодексының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5.1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өлеше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идентификация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катнашучылардан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телдән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архи-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тектура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идарәсе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адресына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язмача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3.2., 3.4., 3.5.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пунктлары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экспозиция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</w:t>
      </w:r>
      <w:proofErr w:type="gramStart"/>
      <w:r w:rsidRPr="00C275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75C2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вакыты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экспозициясенә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килүчеләрне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исәпкә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китабына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журналына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язу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юлы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тәкъдимнәр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искәрмәләр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ителә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.</w:t>
      </w:r>
    </w:p>
    <w:p w:rsidR="00C275C2" w:rsidRPr="009C79AA" w:rsidRDefault="00C275C2" w:rsidP="00C275C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4. Татарстан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җәмәгатьчелек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гаммәви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чаралары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элемтә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бүлегенә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гаммәви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матбугат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басмаларында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чыгаруны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.</w:t>
      </w:r>
    </w:p>
    <w:p w:rsidR="00C275C2" w:rsidRPr="00C275C2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комиссиягә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:</w:t>
      </w:r>
    </w:p>
    <w:p w:rsidR="00C275C2" w:rsidRPr="00C275C2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5.1. КФҮ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нең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стендында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хәбәрне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проект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материалларны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;</w:t>
      </w:r>
    </w:p>
    <w:p w:rsidR="00C275C2" w:rsidRPr="009C79AA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5.2. проект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экспозициясен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уздыруны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экспозициягә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килүчеләргә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бирүне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уздыруны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беркетмәсен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рәсмиләштерүне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;</w:t>
      </w:r>
    </w:p>
    <w:p w:rsidR="00C275C2" w:rsidRPr="00C275C2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билгеләгән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срокларда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тәртип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әзерләргә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үткәрергә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;</w:t>
      </w:r>
    </w:p>
    <w:p w:rsidR="00C275C2" w:rsidRPr="00C275C2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бәяләмәне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массакүләм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чараларының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матбугат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басмаларында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КФҮнең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мәгълүмати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такталарында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.</w:t>
      </w:r>
    </w:p>
    <w:p w:rsidR="00C275C2" w:rsidRPr="009C79AA" w:rsidRDefault="00C275C2" w:rsidP="00C275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тикшереп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торуны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комиссиягә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C2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Pr="00C275C2">
        <w:rPr>
          <w:rFonts w:ascii="Times New Roman" w:hAnsi="Times New Roman" w:cs="Times New Roman"/>
          <w:sz w:val="28"/>
          <w:szCs w:val="28"/>
        </w:rPr>
        <w:t>.</w:t>
      </w:r>
    </w:p>
    <w:p w:rsidR="001920E4" w:rsidRPr="009C79AA" w:rsidRDefault="006033FE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ab/>
      </w:r>
      <w:r w:rsidRPr="009C79AA">
        <w:rPr>
          <w:rFonts w:ascii="Times New Roman" w:hAnsi="Times New Roman" w:cs="Times New Roman"/>
          <w:sz w:val="28"/>
          <w:szCs w:val="28"/>
        </w:rPr>
        <w:tab/>
      </w:r>
      <w:r w:rsidRPr="009C79AA">
        <w:rPr>
          <w:rFonts w:ascii="Times New Roman" w:hAnsi="Times New Roman" w:cs="Times New Roman"/>
          <w:sz w:val="28"/>
          <w:szCs w:val="28"/>
        </w:rPr>
        <w:tab/>
      </w:r>
    </w:p>
    <w:p w:rsidR="001920E4" w:rsidRPr="009C79AA" w:rsidRDefault="001920E4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033FE" w:rsidRPr="009C79AA" w:rsidRDefault="006033FE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9AA">
        <w:rPr>
          <w:rFonts w:ascii="Times New Roman" w:hAnsi="Times New Roman" w:cs="Times New Roman"/>
          <w:sz w:val="28"/>
          <w:szCs w:val="28"/>
        </w:rPr>
        <w:t>А.Р.</w:t>
      </w:r>
      <w:r w:rsidR="009C7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9AA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0466C" w:rsidRPr="009C79AA" w:rsidRDefault="0020466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0466C" w:rsidRPr="009C79AA" w:rsidRDefault="0020466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C4857" w:rsidRDefault="003C4857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C4857" w:rsidRDefault="003C4857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C4857" w:rsidRDefault="003C4857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ectPr w:rsidR="003C4857" w:rsidSect="003C485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275C2" w:rsidRPr="00C275C2" w:rsidRDefault="00C275C2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Татарстан </w:t>
      </w: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Республикасы</w:t>
      </w:r>
      <w:proofErr w:type="spellEnd"/>
    </w:p>
    <w:p w:rsidR="00C275C2" w:rsidRPr="00C275C2" w:rsidRDefault="00C275C2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Түбән</w:t>
      </w:r>
      <w:proofErr w:type="spellEnd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Кама </w:t>
      </w: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</w:t>
      </w:r>
      <w:proofErr w:type="spellEnd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районы </w:t>
      </w: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Башлыгының</w:t>
      </w:r>
      <w:proofErr w:type="spellEnd"/>
    </w:p>
    <w:p w:rsidR="00C275C2" w:rsidRPr="00C275C2" w:rsidRDefault="00C275C2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2020 </w:t>
      </w: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елның</w:t>
      </w:r>
      <w:proofErr w:type="spellEnd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C48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22 </w:t>
      </w:r>
      <w:proofErr w:type="spellStart"/>
      <w:r w:rsidR="003C48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нче</w:t>
      </w:r>
      <w:proofErr w:type="spellEnd"/>
      <w:r w:rsidR="003C48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декабрь</w:t>
      </w:r>
    </w:p>
    <w:p w:rsidR="00C275C2" w:rsidRPr="00C275C2" w:rsidRDefault="003C4857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125 нче</w:t>
      </w:r>
      <w:bookmarkStart w:id="0" w:name="_GoBack"/>
      <w:bookmarkEnd w:id="0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номерлы</w:t>
      </w:r>
      <w:proofErr w:type="spellEnd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карары</w:t>
      </w:r>
      <w:proofErr w:type="spellEnd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белән</w:t>
      </w:r>
      <w:proofErr w:type="spellEnd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275C2"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расланган</w:t>
      </w:r>
      <w:proofErr w:type="spellEnd"/>
    </w:p>
    <w:p w:rsidR="00C275C2" w:rsidRPr="009C79AA" w:rsidRDefault="00C275C2" w:rsidP="00C275C2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C275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кушымта</w:t>
      </w:r>
      <w:proofErr w:type="spellEnd"/>
    </w:p>
    <w:p w:rsidR="00786886" w:rsidRPr="009C79AA" w:rsidRDefault="00786886" w:rsidP="009C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275C2" w:rsidRPr="00C275C2" w:rsidRDefault="00C275C2" w:rsidP="00C27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Түбән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Кама</w:t>
      </w:r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районы Красный Ключ</w:t>
      </w:r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авыл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җирлегенең</w:t>
      </w:r>
      <w:proofErr w:type="spellEnd"/>
    </w:p>
    <w:p w:rsidR="00C275C2" w:rsidRPr="00C275C2" w:rsidRDefault="00C275C2" w:rsidP="00C27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Җирдән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файдалану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һәм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төзелеш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кагыйдәләрен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карау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proofErr w:type="spellStart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буенча</w:t>
      </w:r>
      <w:proofErr w:type="spellEnd"/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:rsidR="00C275C2" w:rsidRPr="009C79AA" w:rsidRDefault="00C275C2" w:rsidP="00C275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C275C2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комиссия составы</w:t>
      </w:r>
    </w:p>
    <w:p w:rsidR="00236371" w:rsidRPr="009C79AA" w:rsidRDefault="00236371" w:rsidP="00502DE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6"/>
        <w:gridCol w:w="310"/>
        <w:gridCol w:w="7595"/>
      </w:tblGrid>
      <w:tr w:rsidR="00C275C2" w:rsidRPr="009C79AA" w:rsidTr="00C275C2">
        <w:trPr>
          <w:trHeight w:val="422"/>
        </w:trPr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Әхмә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диева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3C347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комитеты-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ның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идарәсе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комис</w:t>
            </w:r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сия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рәисе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275C2" w:rsidRPr="009C79AA" w:rsidTr="00C275C2">
        <w:trPr>
          <w:trHeight w:val="860"/>
        </w:trPr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Зәйне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тдинов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3C347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Красный Ключ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комиссия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рәисе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5E6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75C2" w:rsidRPr="009C79AA" w:rsidTr="00ED35D4">
        <w:trPr>
          <w:trHeight w:val="60"/>
        </w:trPr>
        <w:tc>
          <w:tcPr>
            <w:tcW w:w="10421" w:type="dxa"/>
            <w:gridSpan w:val="3"/>
          </w:tcPr>
          <w:p w:rsidR="00C275C2" w:rsidRPr="009C79AA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әгъзалары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E538A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ъ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мәтҗа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CA561D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җитәкчесе урынбасары;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0D34E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 «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районы»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берәмл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генең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мөлкәт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мөнәсәбәтләре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идарәсе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МКУ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лыгы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Баһманов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Х.Ә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0D34E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Иҗтимагый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советы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җитә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Ф.Г.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0D34E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</w:t>
            </w: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шәһәр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мәсьәләләре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буенча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киңәшчесе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стафин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0D34E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районы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комитетының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Төзелеш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һәм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идарәсе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башлыгы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урынбасары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E538A3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Сираҗ</w:t>
            </w:r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етдинов</w:t>
            </w:r>
            <w:proofErr w:type="spellEnd"/>
            <w:r w:rsidRPr="009C7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Э.Р.</w:t>
            </w: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95" w:type="dxa"/>
            <w:shd w:val="clear" w:color="auto" w:fill="auto"/>
          </w:tcPr>
          <w:p w:rsidR="00C275C2" w:rsidRPr="000D34E4" w:rsidRDefault="00C275C2" w:rsidP="00C2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Түбән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Кама </w:t>
            </w:r>
            <w:proofErr w:type="spellStart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proofErr w:type="spellEnd"/>
            <w:r w:rsidRPr="00CA5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комитеты архитекторы.</w:t>
            </w:r>
          </w:p>
        </w:tc>
      </w:tr>
      <w:tr w:rsidR="00C275C2" w:rsidRPr="009C79AA" w:rsidTr="00C275C2">
        <w:tc>
          <w:tcPr>
            <w:tcW w:w="2516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5" w:type="dxa"/>
            <w:shd w:val="clear" w:color="auto" w:fill="auto"/>
          </w:tcPr>
          <w:p w:rsidR="00C275C2" w:rsidRPr="009C79AA" w:rsidRDefault="00C275C2" w:rsidP="00C2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2DEC" w:rsidRPr="009C79AA" w:rsidRDefault="00502DEC" w:rsidP="006033FE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502DEC" w:rsidRPr="009C79AA" w:rsidSect="003C48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73BC2"/>
    <w:rsid w:val="00083CEF"/>
    <w:rsid w:val="000A23F3"/>
    <w:rsid w:val="000F222A"/>
    <w:rsid w:val="00101257"/>
    <w:rsid w:val="001920E4"/>
    <w:rsid w:val="00195EF6"/>
    <w:rsid w:val="001A4F13"/>
    <w:rsid w:val="001B4066"/>
    <w:rsid w:val="001F264C"/>
    <w:rsid w:val="0020466C"/>
    <w:rsid w:val="00236371"/>
    <w:rsid w:val="00255203"/>
    <w:rsid w:val="00265839"/>
    <w:rsid w:val="002665D2"/>
    <w:rsid w:val="002836F6"/>
    <w:rsid w:val="0029229B"/>
    <w:rsid w:val="00323014"/>
    <w:rsid w:val="00331D85"/>
    <w:rsid w:val="003552DF"/>
    <w:rsid w:val="00377469"/>
    <w:rsid w:val="003C4857"/>
    <w:rsid w:val="003D19AE"/>
    <w:rsid w:val="004151EF"/>
    <w:rsid w:val="00420CB1"/>
    <w:rsid w:val="00424A45"/>
    <w:rsid w:val="00437357"/>
    <w:rsid w:val="00487038"/>
    <w:rsid w:val="004B6532"/>
    <w:rsid w:val="004E684D"/>
    <w:rsid w:val="00502DEC"/>
    <w:rsid w:val="00510561"/>
    <w:rsid w:val="00511063"/>
    <w:rsid w:val="00567D86"/>
    <w:rsid w:val="00571225"/>
    <w:rsid w:val="005B50FF"/>
    <w:rsid w:val="005D62B5"/>
    <w:rsid w:val="00600EAC"/>
    <w:rsid w:val="006033FE"/>
    <w:rsid w:val="006177F6"/>
    <w:rsid w:val="0064284B"/>
    <w:rsid w:val="00643EF3"/>
    <w:rsid w:val="006744CC"/>
    <w:rsid w:val="00683FF0"/>
    <w:rsid w:val="00691251"/>
    <w:rsid w:val="00697EB4"/>
    <w:rsid w:val="00741F67"/>
    <w:rsid w:val="0074512A"/>
    <w:rsid w:val="00786886"/>
    <w:rsid w:val="00803C1F"/>
    <w:rsid w:val="0087506C"/>
    <w:rsid w:val="00882738"/>
    <w:rsid w:val="008B04C7"/>
    <w:rsid w:val="008B4E84"/>
    <w:rsid w:val="00954225"/>
    <w:rsid w:val="00985A92"/>
    <w:rsid w:val="009B188D"/>
    <w:rsid w:val="009C79AA"/>
    <w:rsid w:val="009F7E5B"/>
    <w:rsid w:val="00A300E1"/>
    <w:rsid w:val="00A32812"/>
    <w:rsid w:val="00B0755F"/>
    <w:rsid w:val="00B31DAD"/>
    <w:rsid w:val="00B67556"/>
    <w:rsid w:val="00C275C2"/>
    <w:rsid w:val="00C317B6"/>
    <w:rsid w:val="00C40521"/>
    <w:rsid w:val="00C60160"/>
    <w:rsid w:val="00C8104D"/>
    <w:rsid w:val="00CB0985"/>
    <w:rsid w:val="00D234DA"/>
    <w:rsid w:val="00D25267"/>
    <w:rsid w:val="00D82372"/>
    <w:rsid w:val="00DB50D2"/>
    <w:rsid w:val="00E52D30"/>
    <w:rsid w:val="00E538A3"/>
    <w:rsid w:val="00EA1219"/>
    <w:rsid w:val="00EA1511"/>
    <w:rsid w:val="00EA691F"/>
    <w:rsid w:val="00ED35D4"/>
    <w:rsid w:val="00F22762"/>
    <w:rsid w:val="00F366B3"/>
    <w:rsid w:val="00F60384"/>
    <w:rsid w:val="00F7420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B0E1-C6E9-41DA-BE27-BEA0BFB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2020-12-21T06:55:00Z</cp:lastPrinted>
  <dcterms:created xsi:type="dcterms:W3CDTF">2020-12-21T06:56:00Z</dcterms:created>
  <dcterms:modified xsi:type="dcterms:W3CDTF">2020-12-22T09:29:00Z</dcterms:modified>
</cp:coreProperties>
</file>